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360" w:lineRule="auto"/>
        <w:contextualSpacing w:val="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VISTO:</w:t>
      </w:r>
    </w:p>
    <w:p w:rsidR="00000000" w:rsidDel="00000000" w:rsidP="00000000" w:rsidRDefault="00000000" w:rsidRPr="00000000" w14:paraId="00000001">
      <w:pPr>
        <w:spacing w:line="360" w:lineRule="auto"/>
        <w:ind w:firstLine="851"/>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déficit habitacional en San Isidro, la Ley Nacional 27.453, la Ley Provincial 14.449 de Acceso Justo al Hábitat, la Ordenanza 8961, y;</w:t>
      </w:r>
    </w:p>
    <w:p w:rsidR="00000000" w:rsidDel="00000000" w:rsidP="00000000" w:rsidRDefault="00000000" w:rsidRPr="00000000" w14:paraId="00000002">
      <w:pPr>
        <w:spacing w:line="360" w:lineRule="auto"/>
        <w:contextualSpacing w:val="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CONSIDERANDO: </w:t>
      </w:r>
    </w:p>
    <w:p w:rsidR="00000000" w:rsidDel="00000000" w:rsidP="00000000" w:rsidRDefault="00000000" w:rsidRPr="00000000" w14:paraId="00000003">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QUE el problema habitacional en la Argentina es un tema fundamental a resolver a fin de dotar de dignidad a las personas y dar cumplimiento efectivo a los derechos establecidos constitucionalmente.</w:t>
      </w:r>
    </w:p>
    <w:p w:rsidR="00000000" w:rsidDel="00000000" w:rsidP="00000000" w:rsidRDefault="00000000" w:rsidRPr="00000000" w14:paraId="00000004">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QUE una de las mayores problemáticas de San Isidro es la precariedad en la que viven vecinas y vecinos en los 16 barrios populares del distrito. </w:t>
      </w:r>
    </w:p>
    <w:p w:rsidR="00000000" w:rsidDel="00000000" w:rsidP="00000000" w:rsidRDefault="00000000" w:rsidRPr="00000000" w14:paraId="00000005">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QUE según el relevamiento del Registro Nacional de Barrios Populares (RENABAP) se llevan relevadas en San Isidro 5.553 familias, lo que da un estimativo de 27.700 personas.</w:t>
      </w:r>
    </w:p>
    <w:p w:rsidR="00000000" w:rsidDel="00000000" w:rsidP="00000000" w:rsidRDefault="00000000" w:rsidRPr="00000000" w14:paraId="00000006">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QUE, el denominador común de todos los barrios populares de San Isidro es que las familias, aun con sólidos derechos posesorios, no cuentan con el dominio de la tierra que habitan. Esto, a su vez, se extiende a otros barrios que no fueron relevados como es el caso del Bajo Boulogne y Barrio Binca, entre otros.</w:t>
      </w:r>
    </w:p>
    <w:p w:rsidR="00000000" w:rsidDel="00000000" w:rsidP="00000000" w:rsidRDefault="00000000" w:rsidRPr="00000000" w14:paraId="00000007">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QUE, cabe destacar, que los hogares relevados por el RENABAP son aquellos que no cuentan con dos de los siguientes tres servicios esenciales: agua, electricidad y cloacas. </w:t>
      </w:r>
    </w:p>
    <w:p w:rsidR="00000000" w:rsidDel="00000000" w:rsidP="00000000" w:rsidRDefault="00000000" w:rsidRPr="00000000" w14:paraId="00000008">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QUE dar solución al problema habitacional, consecuentemente, constituye uno de los pilares fundamentales para erradicar definitivamente la pobreza en nuestro país, lo que necesariamente requiere de la intervención estatal de forma inmediata.</w:t>
      </w:r>
    </w:p>
    <w:p w:rsidR="00000000" w:rsidDel="00000000" w:rsidP="00000000" w:rsidRDefault="00000000" w:rsidRPr="00000000" w14:paraId="00000009">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QUE la magnitud de los números de personas que habitan en condiciones de marginalidad y pobreza no admite más dilaciones. La integración urbana, en consecuencia, se ha tornado en una imperiosa necesidad para darle cumplimiento a los preceptos constitucionales de acceso a la vivienda digna que establece el art. 14 bis de nuestra Carta Magna, entre muchos otros.</w:t>
      </w:r>
    </w:p>
    <w:p w:rsidR="00000000" w:rsidDel="00000000" w:rsidP="00000000" w:rsidRDefault="00000000" w:rsidRPr="00000000" w14:paraId="0000000A">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QUE la precariedad en la tenencia y ocupación de la vivienda de aquellos hogares que no cuentan con derecho real de dominio, incide negativamente en la calidad de vida de las personas, limitando el acceso a la infraestructura y a los servicios públicos básicos. Representa uno de los principales factores del déficit habitacional estructural de nuestro país, y contribuye a la generación de situaciones de pobreza, marginación y fragmentación social. </w:t>
      </w:r>
    </w:p>
    <w:p w:rsidR="00000000" w:rsidDel="00000000" w:rsidP="00000000" w:rsidRDefault="00000000" w:rsidRPr="00000000" w14:paraId="0000000B">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QUE a pesar de tener San Isidro el presupuesto por habitante más alto de la Provincia de Buenos Aires ($9.000 millones) y uno de los más altos del país, que fue beneficiado por diversos planes de vivienda social – entre ellos fondos por más de USD 100 millones del Plan Federal de Viviendas -, esto no se ve reflejado en los sectores menos favorecidos del municipio.  </w:t>
      </w:r>
    </w:p>
    <w:p w:rsidR="00000000" w:rsidDel="00000000" w:rsidP="00000000" w:rsidRDefault="00000000" w:rsidRPr="00000000" w14:paraId="0000000C">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QUE hay barrios, como el Congo de Martínez, que están a un solo paso de lograr su urbanización gracias al Plan Federal de Viviendas, siendo solo 8 casas las restantes.</w:t>
      </w:r>
    </w:p>
    <w:p w:rsidR="00000000" w:rsidDel="00000000" w:rsidP="00000000" w:rsidRDefault="00000000" w:rsidRPr="00000000" w14:paraId="0000000D">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QUE según el art. 1 de la Ley 27.453 (RÉGIMEN DE REGULARIZACIÓN DOMINIAL PARA LA INTEGRACIÓN SOCIO URBANA), se entiende por integración socio urbana  al conjunto de acciones orientadas a la mejora y ampliación del equipamiento social y de la infraestructura, el acceso a los servicios, el tratamiento de los espacios libres y públicos, la eliminación de barreras urbanas, la mejora en la accesibilidad y conectividad, el saneamiento y mitigación ambiental, el fortalecimiento de las actividades económicas familiares, el redimensionamiento parcelario, la seguridad en la tenencia y la regularización dominial. Tales acciones deberán ser progresivas, integrales, participativas y con enfoque de género y diversidad.</w:t>
      </w:r>
    </w:p>
    <w:p w:rsidR="00000000" w:rsidDel="00000000" w:rsidP="00000000" w:rsidRDefault="00000000" w:rsidRPr="00000000" w14:paraId="0000000E">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QUE el Municipio de San Isidro en Noviembre del año 2017 adhirió, a través de la ordenanza N° 8.961, a la Ley Provincial 14.449 (Ley de Acceso Justo al Hábitat). Cabe destacar que, según el artículo 1, dicha ley tiene por objeto: “</w:t>
      </w:r>
      <w:r w:rsidDel="00000000" w:rsidR="00000000" w:rsidRPr="00000000">
        <w:rPr>
          <w:rFonts w:ascii="Arial" w:cs="Arial" w:eastAsia="Arial" w:hAnsi="Arial"/>
          <w:color w:val="000000"/>
          <w:sz w:val="24"/>
          <w:szCs w:val="24"/>
          <w:rtl w:val="0"/>
        </w:rPr>
        <w:t xml:space="preserve">la promoción del derecho a la vivienda y a un hábitat digno y sustentable, conforme lo establece la Constitución de la Provincia de Buenos Aires. Sus objetivos específicos son:</w:t>
      </w:r>
      <w:r w:rsidDel="00000000" w:rsidR="00000000" w:rsidRPr="00000000">
        <w:rPr>
          <w:rtl w:val="0"/>
        </w:rPr>
      </w:r>
    </w:p>
    <w:p w:rsidR="00000000" w:rsidDel="00000000" w:rsidP="00000000" w:rsidRDefault="00000000" w:rsidRPr="00000000" w14:paraId="0000000F">
      <w:pPr>
        <w:spacing w:after="0" w:line="360" w:lineRule="auto"/>
        <w:ind w:left="720" w:hanging="360"/>
        <w:contextualSpacing w:val="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Promover la generación y facilitar la gestión de proyectos habitacionales, de urbanizaciones sociales y de procesos de regularización de barrios informales.</w:t>
      </w:r>
    </w:p>
    <w:p w:rsidR="00000000" w:rsidDel="00000000" w:rsidP="00000000" w:rsidRDefault="00000000" w:rsidRPr="00000000" w14:paraId="00000010">
      <w:pPr>
        <w:spacing w:after="0" w:line="360" w:lineRule="auto"/>
        <w:ind w:left="720" w:hanging="360"/>
        <w:contextualSpacing w:val="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      Abordar y atender integralmente la diversidad y complejidad de la demanda urbano habitacional.</w:t>
      </w:r>
    </w:p>
    <w:p w:rsidR="00000000" w:rsidDel="00000000" w:rsidP="00000000" w:rsidRDefault="00000000" w:rsidRPr="00000000" w14:paraId="00000011">
      <w:pPr>
        <w:spacing w:after="0" w:line="360" w:lineRule="auto"/>
        <w:ind w:left="720" w:hanging="360"/>
        <w:contextualSpacing w:val="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      Generar nuevos recursos a través de instrumentos que permitan, al mismo tiempo, reducir las expectativas especulativas de valorización del suelo.</w:t>
      </w:r>
    </w:p>
    <w:p w:rsidR="00000000" w:rsidDel="00000000" w:rsidP="00000000" w:rsidRDefault="00000000" w:rsidRPr="00000000" w14:paraId="00000012">
      <w:pPr>
        <w:spacing w:after="0" w:line="360" w:lineRule="auto"/>
        <w:ind w:left="720" w:hanging="360"/>
        <w:contextualSpacing w:val="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3">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QUE en razón de lo expuesto, las organizaciones sociales CTEP, Somos Barrios de Pie, TECHO y Caritas, que fuimos parte del Relevamiento Nacional de Barrios Populares y de la conformación del Registro Nacional de Barrios Populares, proponemos el siguiente:</w:t>
      </w:r>
    </w:p>
    <w:p w:rsidR="00000000" w:rsidDel="00000000" w:rsidP="00000000" w:rsidRDefault="00000000" w:rsidRPr="00000000" w14:paraId="00000014">
      <w:pPr>
        <w:spacing w:line="36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line="36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line="360" w:lineRule="auto"/>
        <w:contextualSpacing w:val="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PROYECTO DE ORDENANZA</w:t>
      </w:r>
    </w:p>
    <w:p w:rsidR="00000000" w:rsidDel="00000000" w:rsidP="00000000" w:rsidRDefault="00000000" w:rsidRPr="00000000" w14:paraId="00000017">
      <w:pPr>
        <w:spacing w:line="36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 </w:t>
      </w:r>
      <w:r w:rsidDel="00000000" w:rsidR="00000000" w:rsidRPr="00000000">
        <w:rPr>
          <w:rFonts w:ascii="Arial" w:cs="Arial" w:eastAsia="Arial" w:hAnsi="Arial"/>
          <w:sz w:val="24"/>
          <w:szCs w:val="24"/>
          <w:rtl w:val="0"/>
        </w:rPr>
        <w:t xml:space="preserve">Objetivo. La presente ordenanza tiene como objeto establecer un marco normativo para la completa urbanización e integración socio urbana de los barrios populares del Municipio de San Isidro, para que los/as ciudadanos/as que actualmente los habitan, puedan acceder a una vivienda digna y a un hábitat digno.</w:t>
      </w:r>
    </w:p>
    <w:p w:rsidR="00000000" w:rsidDel="00000000" w:rsidP="00000000" w:rsidRDefault="00000000" w:rsidRPr="00000000" w14:paraId="00000019">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2: </w:t>
      </w:r>
      <w:r w:rsidDel="00000000" w:rsidR="00000000" w:rsidRPr="00000000">
        <w:rPr>
          <w:rFonts w:ascii="Arial" w:cs="Arial" w:eastAsia="Arial" w:hAnsi="Arial"/>
          <w:sz w:val="24"/>
          <w:szCs w:val="24"/>
          <w:rtl w:val="0"/>
        </w:rPr>
        <w:t xml:space="preserve">Sujeto. Son beneficiarios de esta Ordenanza:</w:t>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7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denominados Barrios Populares de San Isidro inscriptos en el Registro Nacional de Barrios Populares (RENABAP) dependiente del Ministerio de Salud y Desarrollo Social de la Nación.</w:t>
      </w:r>
    </w:p>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360" w:lineRule="auto"/>
        <w:ind w:left="77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Todo otro barrio que cumpla con la definición dispuesta en el artículo 27 de la Ley 14.449 de la Provincia de Buenos Aires y que están inscriptos en el Registro Público Provincial de Villas y Asentamientos Precarios dependiente de la Subsecretaria Social de Tierras, Urbanismo y Vivienda del Gobierno de la Provincia de Buenos Aires. </w:t>
      </w:r>
    </w:p>
    <w:p w:rsidR="00000000" w:rsidDel="00000000" w:rsidP="00000000" w:rsidRDefault="00000000" w:rsidRPr="00000000" w14:paraId="0000001C">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acuerdo a lo mencionado los barrios de San Isidro beneficiarios de esta ordenanza son:</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 Cava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 la localidad de Beccar.</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Nueva Esperanza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 la localidad de Boulogne Sur Mer.</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Veinte de Junio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 la localidad de Beccar.</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Cava Chica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 la localidad de Beccar.</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San Cayetano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 la localidad de Beccar.</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Santa Ana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 la localidad de Boulogne Sur Mer.</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Barrio Ferroviario Santa Rosa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 la localidad de Boulogne Sur Mer.</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Uruguay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 la localidad de Beccar.</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Uspallata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 la localidad de Beccar.</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Iberlucea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 la localidad de Beccar.</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Villa Ruedita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 la localidad de Boulogne Sur Mer.</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El Ombú</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 la localidad de Boulogne Sur Mer.</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Sauce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 la localidad de Beccar.</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Puerto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 la localidad de San Isidro.</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Roque Sáenz Peña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 la localidad de San Isidro.</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Congo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 la localidad de Martínez.</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 Bajo de San Isidro (y barrios internos)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 la localidad de San Isidro.</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Binca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 la localidad de Boulogne Sur Mer.</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Barrio Covicom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 la localidad de Villa Adelina.</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Segurola y Sarratea (Bajo Boulogne)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 la localidad de Boulogne Sur Mer.</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360"/>
        <w:contextualSpacing w:val="1"/>
        <w:jc w:val="both"/>
        <w:rPr>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Todo otro barrio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que, a futuro, pueda ser incluido en el Registro Nacional de Barrios Populares y/o en el Registro Público Provincial de Villas y Asentamientos Precarios.</w:t>
      </w:r>
    </w:p>
    <w:p w:rsidR="00000000" w:rsidDel="00000000" w:rsidP="00000000" w:rsidRDefault="00000000" w:rsidRPr="00000000" w14:paraId="00000032">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3:</w:t>
      </w:r>
      <w:r w:rsidDel="00000000" w:rsidR="00000000" w:rsidRPr="00000000">
        <w:rPr>
          <w:rFonts w:ascii="Arial" w:cs="Arial" w:eastAsia="Arial" w:hAnsi="Arial"/>
          <w:sz w:val="24"/>
          <w:szCs w:val="24"/>
          <w:rtl w:val="0"/>
        </w:rPr>
        <w:t xml:space="preserve"> Créase el Programa de Integración Socio Urbana y Vivienda Social, quien será la Autoridad de Aplicación de la presente Ordenanza. La misma dependerá de la Secretaría de Integración Comunitaria.</w:t>
      </w:r>
    </w:p>
    <w:p w:rsidR="00000000" w:rsidDel="00000000" w:rsidP="00000000" w:rsidRDefault="00000000" w:rsidRPr="00000000" w14:paraId="00000033">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4:</w:t>
      </w:r>
      <w:r w:rsidDel="00000000" w:rsidR="00000000" w:rsidRPr="00000000">
        <w:rPr>
          <w:rFonts w:ascii="Arial" w:cs="Arial" w:eastAsia="Arial" w:hAnsi="Arial"/>
          <w:sz w:val="24"/>
          <w:szCs w:val="24"/>
          <w:rtl w:val="0"/>
        </w:rPr>
        <w:t xml:space="preserve"> Serán sus funciones: </w:t>
      </w:r>
    </w:p>
    <w:p w:rsidR="00000000" w:rsidDel="00000000" w:rsidP="00000000" w:rsidRDefault="00000000" w:rsidRPr="00000000" w14:paraId="0000003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Planificar, ejecutar y supervisar las obras de solución, mejoramiento habitacional y saneamiento ambiental, de los barrios populares del distrito, priorizando las situaciones de emergencia. </w:t>
      </w:r>
    </w:p>
    <w:p w:rsidR="00000000" w:rsidDel="00000000" w:rsidP="00000000" w:rsidRDefault="00000000" w:rsidRPr="00000000" w14:paraId="0000003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Planificar y coordinar, con los organismos competentes, las intervenciones necesarias a fin de poder llevar a cabo la apertura de calles y desarrollo e implementación de servicios básicos como agua potable, cloacas, red eléctrica, gas natural, participando en la ejecución de las mismas a través de la suscripción de convenios con otros organismos públicos y/o privados, nacionales o internacionales.</w:t>
      </w:r>
    </w:p>
    <w:p w:rsidR="00000000" w:rsidDel="00000000" w:rsidP="00000000" w:rsidRDefault="00000000" w:rsidRPr="00000000" w14:paraId="0000003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Mejorar y facilitar el acceso a equipamiento urbano, servicios sociales, soluciones habitacionales y mejoramiento de viviendas.</w:t>
      </w:r>
    </w:p>
    <w:p w:rsidR="00000000" w:rsidDel="00000000" w:rsidP="00000000" w:rsidRDefault="00000000" w:rsidRPr="00000000" w14:paraId="0000003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00" w:before="0" w:line="36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Colaborar en el desarrollo de actividades que tengan por objeto favorecer el desarrollo humano, económico y urbano integral con la finalidad de mejorar sustancialmente los indicadores de salud, educación, acceso a la justicia, regularización dominial y seguridad en los barrios.</w:t>
      </w:r>
    </w:p>
    <w:p w:rsidR="00000000" w:rsidDel="00000000" w:rsidP="00000000" w:rsidRDefault="00000000" w:rsidRPr="00000000" w14:paraId="00000038">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5:</w:t>
      </w:r>
      <w:r w:rsidDel="00000000" w:rsidR="00000000" w:rsidRPr="00000000">
        <w:rPr>
          <w:rFonts w:ascii="Arial" w:cs="Arial" w:eastAsia="Arial" w:hAnsi="Arial"/>
          <w:sz w:val="24"/>
          <w:szCs w:val="24"/>
          <w:rtl w:val="0"/>
        </w:rPr>
        <w:t xml:space="preserve"> Créase la comisión de Integración Socio Urbana y Vivienda Social que estará conformada por un/a titular y suplente de cada organización social estipuladas en el Anexo I, por cuatro concejales del HCD y un representante del Departamento Ejecutivo. Dicha comisión actuará como Consejo Consultivo de toda reglamentación, proyección, ejecución, articulación y como órgano controlador del cumplimiento de la presente Ordenanza.</w:t>
      </w:r>
    </w:p>
    <w:p w:rsidR="00000000" w:rsidDel="00000000" w:rsidP="00000000" w:rsidRDefault="00000000" w:rsidRPr="00000000" w14:paraId="00000039">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6: </w:t>
      </w:r>
      <w:r w:rsidDel="00000000" w:rsidR="00000000" w:rsidRPr="00000000">
        <w:rPr>
          <w:rFonts w:ascii="Arial" w:cs="Arial" w:eastAsia="Arial" w:hAnsi="Arial"/>
          <w:sz w:val="24"/>
          <w:szCs w:val="24"/>
          <w:rtl w:val="0"/>
        </w:rPr>
        <w:t xml:space="preserve">Declárese de Interés Municipal el “Registro Nacional de Barrios Populares en Proceso de Integración Urbana” creado por Decreto Nacional 358/17, como así también el “Certificado de Vivienda Familiar”, emitido por la Agencia de Administración de Bienes del Estado (AABE).</w:t>
      </w:r>
    </w:p>
    <w:p w:rsidR="00000000" w:rsidDel="00000000" w:rsidP="00000000" w:rsidRDefault="00000000" w:rsidRPr="00000000" w14:paraId="0000003A">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7:</w:t>
      </w:r>
      <w:r w:rsidDel="00000000" w:rsidR="00000000" w:rsidRPr="00000000">
        <w:rPr>
          <w:rFonts w:ascii="Arial" w:cs="Arial" w:eastAsia="Arial" w:hAnsi="Arial"/>
          <w:sz w:val="24"/>
          <w:szCs w:val="24"/>
          <w:rtl w:val="0"/>
        </w:rPr>
        <w:t xml:space="preserve"> El Departamento Ejecutivo reconocerá el Certificado de Vivienda Familiar como documento suficiente para acreditar la existencia y veracidad del domicilio a efectos de solicitar y acceder a los servicios básicos, CUIT y/o CUIL, prestaciones de salud, previsionales y educativas, entre otras.</w:t>
      </w:r>
    </w:p>
    <w:p w:rsidR="00000000" w:rsidDel="00000000" w:rsidP="00000000" w:rsidRDefault="00000000" w:rsidRPr="00000000" w14:paraId="0000003B">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8:</w:t>
      </w:r>
      <w:r w:rsidDel="00000000" w:rsidR="00000000" w:rsidRPr="00000000">
        <w:rPr>
          <w:rFonts w:ascii="Arial" w:cs="Arial" w:eastAsia="Arial" w:hAnsi="Arial"/>
          <w:sz w:val="24"/>
          <w:szCs w:val="24"/>
          <w:rtl w:val="0"/>
        </w:rPr>
        <w:t xml:space="preserve"> El Departamento Ejecutivo, en virtud de las Resoluciones de OCEBA y el ente regulador OCABA, arbitrará las acciones y medidas necesarias para que las empresas prestadoras de los servicios públicos de electricidad, gas, agua potable y saneamiento, provean de tales derechos a todos aquellos habitantes que cuenten con el Certificado de Vivienda Familiar, admitiéndolo como documento suficiente para acreditar existencia y veracidad del domicilio a todos los efectos que pudiera corresponder.</w:t>
      </w:r>
    </w:p>
    <w:p w:rsidR="00000000" w:rsidDel="00000000" w:rsidP="00000000" w:rsidRDefault="00000000" w:rsidRPr="00000000" w14:paraId="0000003C">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9:</w:t>
      </w:r>
      <w:r w:rsidDel="00000000" w:rsidR="00000000" w:rsidRPr="00000000">
        <w:rPr>
          <w:rFonts w:ascii="Arial" w:cs="Arial" w:eastAsia="Arial" w:hAnsi="Arial"/>
          <w:sz w:val="24"/>
          <w:szCs w:val="24"/>
          <w:rtl w:val="0"/>
        </w:rPr>
        <w:t xml:space="preserve"> El Departamento Ejecutivo arbitrará todos los medios necesarios a fin de agilizar los procesos de regularización urbano dominial que permitan a los y las habitantes de los barrios populares acceder a su título de propiedad, modificando las zonas y usos que urbanísticamente puedan corresponder.</w:t>
      </w:r>
    </w:p>
    <w:p w:rsidR="00000000" w:rsidDel="00000000" w:rsidP="00000000" w:rsidRDefault="00000000" w:rsidRPr="00000000" w14:paraId="0000003D">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10:</w:t>
      </w:r>
      <w:r w:rsidDel="00000000" w:rsidR="00000000" w:rsidRPr="00000000">
        <w:rPr>
          <w:rFonts w:ascii="Arial" w:cs="Arial" w:eastAsia="Arial" w:hAnsi="Arial"/>
          <w:sz w:val="24"/>
          <w:szCs w:val="24"/>
          <w:rtl w:val="0"/>
        </w:rPr>
        <w:t xml:space="preserve"> El poder Ejecutivo Municipal celebrará convenio con el Registro Nacional de Barrios Populares (RENABAP) a fin de acceder a la información relevada.</w:t>
      </w:r>
    </w:p>
    <w:p w:rsidR="00000000" w:rsidDel="00000000" w:rsidP="00000000" w:rsidRDefault="00000000" w:rsidRPr="00000000" w14:paraId="0000003E">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11:</w:t>
      </w:r>
      <w:r w:rsidDel="00000000" w:rsidR="00000000" w:rsidRPr="00000000">
        <w:rPr>
          <w:rFonts w:ascii="Arial" w:cs="Arial" w:eastAsia="Arial" w:hAnsi="Arial"/>
          <w:sz w:val="24"/>
          <w:szCs w:val="24"/>
          <w:rtl w:val="0"/>
        </w:rPr>
        <w:t xml:space="preserve"> El Departamento Ejecutivo asignará progresivamente en el Presupuesto Municipal un mínimo de 6% de la recaudación de tasas y todo otro ingreso de origen municipal para la ejecución de la presente Ordenanza a su respectivo órgano de aplicación, el Programa de Integración Socio Urbana y Vivienda Social, a implementarse en el siguiente periodo luego de aprobada la presente.</w:t>
      </w:r>
    </w:p>
    <w:p w:rsidR="00000000" w:rsidDel="00000000" w:rsidP="00000000" w:rsidRDefault="00000000" w:rsidRPr="00000000" w14:paraId="0000003F">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progresividad será la siguiente:</w:t>
      </w:r>
    </w:p>
    <w:p w:rsidR="00000000" w:rsidDel="00000000" w:rsidP="00000000" w:rsidRDefault="00000000" w:rsidRPr="00000000" w14:paraId="00000040">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Un mínimo de 6% de las Tasas Municipales y todo otro ingreso de origen municipal para el primer año desde la aprobación de la presente Ordenanza;</w:t>
      </w:r>
    </w:p>
    <w:p w:rsidR="00000000" w:rsidDel="00000000" w:rsidP="00000000" w:rsidRDefault="00000000" w:rsidRPr="00000000" w14:paraId="00000041">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Un mínimo de 7% para el segundo año; y</w:t>
      </w:r>
    </w:p>
    <w:p w:rsidR="00000000" w:rsidDel="00000000" w:rsidP="00000000" w:rsidRDefault="00000000" w:rsidRPr="00000000" w14:paraId="00000042">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 Un mínimo de 8% para el tercer año y los subsiguientes hasta la conclusión del objetivo (art. 1) de la presente Ordenanza.</w:t>
      </w:r>
    </w:p>
    <w:p w:rsidR="00000000" w:rsidDel="00000000" w:rsidP="00000000" w:rsidRDefault="00000000" w:rsidRPr="00000000" w14:paraId="00000043">
      <w:pPr>
        <w:spacing w:line="360" w:lineRule="auto"/>
        <w:contextualSpacing w:val="0"/>
        <w:jc w:val="both"/>
        <w:rPr>
          <w:rFonts w:ascii="Arial" w:cs="Arial" w:eastAsia="Arial" w:hAnsi="Arial"/>
          <w:color w:val="ff0000"/>
          <w:sz w:val="24"/>
          <w:szCs w:val="24"/>
        </w:rPr>
      </w:pPr>
      <w:r w:rsidDel="00000000" w:rsidR="00000000" w:rsidRPr="00000000">
        <w:rPr>
          <w:rFonts w:ascii="Arial" w:cs="Arial" w:eastAsia="Arial" w:hAnsi="Arial"/>
          <w:b w:val="1"/>
          <w:sz w:val="24"/>
          <w:szCs w:val="24"/>
          <w:rtl w:val="0"/>
        </w:rPr>
        <w:t xml:space="preserve">Artículo 12:</w:t>
      </w:r>
      <w:r w:rsidDel="00000000" w:rsidR="00000000" w:rsidRPr="00000000">
        <w:rPr>
          <w:rFonts w:ascii="Arial" w:cs="Arial" w:eastAsia="Arial" w:hAnsi="Arial"/>
          <w:sz w:val="24"/>
          <w:szCs w:val="24"/>
          <w:rtl w:val="0"/>
        </w:rPr>
        <w:t xml:space="preserve"> Créase un "Fondo Fiduciario de Urbanización y Soluciones Habitacionales", donde se depositarán mensualmente los recursos mencionados en el Artículo anterior, para ser utilizados exclusivamente para la disposición de la presente Ordenanza y a criterio del Programa de Integración Socio Urbana y Vivienda Social. En ningún caso, los gastos de administración y consultoría podrán exceder el 1 % del presupuesto.  </w:t>
      </w:r>
      <w:r w:rsidDel="00000000" w:rsidR="00000000" w:rsidRPr="00000000">
        <w:rPr>
          <w:rtl w:val="0"/>
        </w:rPr>
      </w:r>
    </w:p>
    <w:p w:rsidR="00000000" w:rsidDel="00000000" w:rsidP="00000000" w:rsidRDefault="00000000" w:rsidRPr="00000000" w14:paraId="00000044">
      <w:pPr>
        <w:spacing w:line="360" w:lineRule="auto"/>
        <w:contextualSpacing w:val="0"/>
        <w:jc w:val="both"/>
        <w:rPr>
          <w:rFonts w:ascii="Arial" w:cs="Arial" w:eastAsia="Arial" w:hAnsi="Arial"/>
          <w:color w:val="ff0000"/>
          <w:sz w:val="24"/>
          <w:szCs w:val="24"/>
        </w:rPr>
      </w:pPr>
      <w:r w:rsidDel="00000000" w:rsidR="00000000" w:rsidRPr="00000000">
        <w:rPr>
          <w:rFonts w:ascii="Arial" w:cs="Arial" w:eastAsia="Arial" w:hAnsi="Arial"/>
          <w:b w:val="1"/>
          <w:sz w:val="24"/>
          <w:szCs w:val="24"/>
          <w:rtl w:val="0"/>
        </w:rPr>
        <w:t xml:space="preserve">Artículo 13: </w:t>
      </w:r>
      <w:r w:rsidDel="00000000" w:rsidR="00000000" w:rsidRPr="00000000">
        <w:rPr>
          <w:rFonts w:ascii="Arial" w:cs="Arial" w:eastAsia="Arial" w:hAnsi="Arial"/>
          <w:sz w:val="24"/>
          <w:szCs w:val="24"/>
          <w:rtl w:val="0"/>
        </w:rPr>
        <w:t xml:space="preserve">Autorízase al Departamento Ejecutivo Municipal a celebrar diferentes convenios a los fines de dar cumplimiento a la presente ordenanza y con las siguientes funciones asignadas por la Ley Nacional 27.453:</w:t>
      </w:r>
      <w:r w:rsidDel="00000000" w:rsidR="00000000" w:rsidRPr="00000000">
        <w:rPr>
          <w:rtl w:val="0"/>
        </w:rPr>
      </w:r>
    </w:p>
    <w:p w:rsidR="00000000" w:rsidDel="00000000" w:rsidP="00000000" w:rsidRDefault="00000000" w:rsidRPr="00000000" w14:paraId="0000004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Celebrar convenios con el Poder Ejecutivo Nacional a través de la Agencia de Administración de Bienes del Estado, para individualizar los bienes inmuebles incluidos en el RENABAP.</w:t>
      </w:r>
    </w:p>
    <w:p w:rsidR="00000000" w:rsidDel="00000000" w:rsidP="00000000" w:rsidRDefault="00000000" w:rsidRPr="00000000" w14:paraId="0000004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36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Celebrar convenios con el Ministerio de Salud y Desarrollo Social de la Nación, con el Ministerio del Interior, Obras Públicas y Vivienda de Nación, y con cualquier otro organismo nacional y/o provincial que sea necesario, a los fines de implementar proyectos de integración socio urbano con el objeto de generar condiciones tendientes a mejorar la calidad de vida de sus ocupantes y transferir aquellos bienes inmuebles a los mismos.</w:t>
      </w:r>
    </w:p>
    <w:p w:rsidR="00000000" w:rsidDel="00000000" w:rsidP="00000000" w:rsidRDefault="00000000" w:rsidRPr="00000000" w14:paraId="00000047">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14:</w:t>
      </w:r>
      <w:r w:rsidDel="00000000" w:rsidR="00000000" w:rsidRPr="00000000">
        <w:rPr>
          <w:rFonts w:ascii="Arial" w:cs="Arial" w:eastAsia="Arial" w:hAnsi="Arial"/>
          <w:sz w:val="24"/>
          <w:szCs w:val="24"/>
          <w:rtl w:val="0"/>
        </w:rPr>
        <w:t xml:space="preserve"> Las obras a realizarse dentro del marco de los proyectos de integración socio-urbana mencionados en el artículo 4 de la presente ordenanza, así como cualquier obra a realizarse en los Barrios Populares incluidos en el RENABAP deberán adjudicarse, en un veinticinco por ciento (25%) como mínimo, a las cooperativas de trabajo u otros grupos asociativos de la economía popular integradas, preferentemente, por los habitantes de los Barrios Populares.</w:t>
      </w:r>
    </w:p>
    <w:p w:rsidR="00000000" w:rsidDel="00000000" w:rsidP="00000000" w:rsidRDefault="00000000" w:rsidRPr="00000000" w14:paraId="00000048">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15:</w:t>
      </w:r>
      <w:r w:rsidDel="00000000" w:rsidR="00000000" w:rsidRPr="00000000">
        <w:rPr>
          <w:rFonts w:ascii="Arial" w:cs="Arial" w:eastAsia="Arial" w:hAnsi="Arial"/>
          <w:sz w:val="24"/>
          <w:szCs w:val="24"/>
          <w:rtl w:val="0"/>
        </w:rPr>
        <w:t xml:space="preserve"> De forma.</w:t>
      </w:r>
    </w:p>
    <w:p w:rsidR="00000000" w:rsidDel="00000000" w:rsidP="00000000" w:rsidRDefault="00000000" w:rsidRPr="00000000" w14:paraId="00000049">
      <w:pPr>
        <w:contextualSpacing w:val="0"/>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A">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ANEXO I</w:t>
      </w:r>
    </w:p>
    <w:p w:rsidR="00000000" w:rsidDel="00000000" w:rsidP="00000000" w:rsidRDefault="00000000" w:rsidRPr="00000000" w14:paraId="0000004B">
      <w:pPr>
        <w:spacing w:line="360" w:lineRule="auto"/>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Organizaciones que deberán integrar la Comisión de Integración Socio Urbana y Vivienda Social:</w:t>
      </w:r>
    </w:p>
    <w:p w:rsidR="00000000" w:rsidDel="00000000" w:rsidP="00000000" w:rsidRDefault="00000000" w:rsidRPr="00000000" w14:paraId="0000004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CTEP</w:t>
      </w:r>
    </w:p>
    <w:p w:rsidR="00000000" w:rsidDel="00000000" w:rsidP="00000000" w:rsidRDefault="00000000" w:rsidRPr="00000000" w14:paraId="0000004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Somos Barrios de Pie</w:t>
      </w:r>
    </w:p>
    <w:p w:rsidR="00000000" w:rsidDel="00000000" w:rsidP="00000000" w:rsidRDefault="00000000" w:rsidRPr="00000000" w14:paraId="0000004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TECHO</w:t>
      </w:r>
    </w:p>
    <w:p w:rsidR="00000000" w:rsidDel="00000000" w:rsidP="00000000" w:rsidRDefault="00000000" w:rsidRPr="00000000" w14:paraId="0000004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Caritas</w:t>
      </w:r>
    </w:p>
    <w:p w:rsidR="00000000" w:rsidDel="00000000" w:rsidP="00000000" w:rsidRDefault="00000000" w:rsidRPr="00000000" w14:paraId="0000005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0" w:line="360" w:lineRule="auto"/>
        <w:ind w:left="720" w:right="0" w:hanging="360"/>
        <w:contextualSpacing w:val="1"/>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Otras organizaciones que formaron parte del Relevamiento Nacional de Barrios Populares.</w:t>
      </w:r>
    </w:p>
    <w:sectPr>
      <w:pgSz w:h="20160" w:w="12240"/>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70" w:hanging="360"/>
      </w:pPr>
      <w:rPr>
        <w:rFonts w:ascii="Noto Sans Symbols" w:cs="Noto Sans Symbols" w:eastAsia="Noto Sans Symbols" w:hAnsi="Noto Sans Symbols"/>
      </w:rPr>
    </w:lvl>
    <w:lvl w:ilvl="1">
      <w:start w:val="1"/>
      <w:numFmt w:val="lowerLetter"/>
      <w:lvlText w:val="%2."/>
      <w:lvlJc w:val="left"/>
      <w:pPr>
        <w:ind w:left="1490" w:hanging="360"/>
      </w:pPr>
      <w:rPr/>
    </w:lvl>
    <w:lvl w:ilvl="2">
      <w:start w:val="1"/>
      <w:numFmt w:val="lowerRoman"/>
      <w:lvlText w:val="%3."/>
      <w:lvlJc w:val="right"/>
      <w:pPr>
        <w:ind w:left="2210" w:hanging="180"/>
      </w:pPr>
      <w:rPr/>
    </w:lvl>
    <w:lvl w:ilvl="3">
      <w:start w:val="1"/>
      <w:numFmt w:val="decimal"/>
      <w:lvlText w:val="%4."/>
      <w:lvlJc w:val="left"/>
      <w:pPr>
        <w:ind w:left="2930" w:hanging="360"/>
      </w:pPr>
      <w:rPr/>
    </w:lvl>
    <w:lvl w:ilvl="4">
      <w:start w:val="1"/>
      <w:numFmt w:val="lowerLetter"/>
      <w:lvlText w:val="%5."/>
      <w:lvlJc w:val="left"/>
      <w:pPr>
        <w:ind w:left="3650" w:hanging="360"/>
      </w:pPr>
      <w:rPr/>
    </w:lvl>
    <w:lvl w:ilvl="5">
      <w:start w:val="1"/>
      <w:numFmt w:val="lowerRoman"/>
      <w:lvlText w:val="%6."/>
      <w:lvlJc w:val="right"/>
      <w:pPr>
        <w:ind w:left="4370" w:hanging="180"/>
      </w:pPr>
      <w:rPr/>
    </w:lvl>
    <w:lvl w:ilvl="6">
      <w:start w:val="1"/>
      <w:numFmt w:val="decimal"/>
      <w:lvlText w:val="%7."/>
      <w:lvlJc w:val="left"/>
      <w:pPr>
        <w:ind w:left="5090" w:hanging="360"/>
      </w:pPr>
      <w:rPr/>
    </w:lvl>
    <w:lvl w:ilvl="7">
      <w:start w:val="1"/>
      <w:numFmt w:val="lowerLetter"/>
      <w:lvlText w:val="%8."/>
      <w:lvlJc w:val="left"/>
      <w:pPr>
        <w:ind w:left="5810" w:hanging="360"/>
      </w:pPr>
      <w:rPr/>
    </w:lvl>
    <w:lvl w:ilvl="8">
      <w:start w:val="1"/>
      <w:numFmt w:val="lowerRoman"/>
      <w:lvlText w:val="%9."/>
      <w:lvlJc w:val="right"/>
      <w:pPr>
        <w:ind w:left="653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1101C"/>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9C0161"/>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